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68" w:rsidRDefault="00846166" w:rsidP="00846166">
      <w:pPr>
        <w:bidi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  <w:r>
        <w:rPr>
          <w:noProof/>
          <w:lang w:eastAsia="fr-FR"/>
        </w:rPr>
        <w:drawing>
          <wp:anchor distT="36576" distB="36576" distL="36576" distR="36576" simplePos="0" relativeHeight="251662848" behindDoc="0" locked="0" layoutInCell="1" allowOverlap="1" wp14:anchorId="3F75FBFD" wp14:editId="2C50ECAE">
            <wp:simplePos x="0" y="0"/>
            <wp:positionH relativeFrom="column">
              <wp:posOffset>-4445</wp:posOffset>
            </wp:positionH>
            <wp:positionV relativeFrom="paragraph">
              <wp:posOffset>212090</wp:posOffset>
            </wp:positionV>
            <wp:extent cx="2028825" cy="1828235"/>
            <wp:effectExtent l="0" t="0" r="0" b="0"/>
            <wp:wrapNone/>
            <wp:docPr id="89" name="Image 3" descr="Logo ISIC Tifina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SIC Tifinag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82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166" w:rsidRDefault="00846166" w:rsidP="00846166">
      <w:pPr>
        <w:bidi/>
        <w:jc w:val="right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  <w:r w:rsidRPr="000F1E18">
        <w:rPr>
          <w:rFonts w:asciiTheme="majorBidi" w:hAnsiTheme="majorBidi"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6704" behindDoc="0" locked="0" layoutInCell="1" allowOverlap="1" wp14:anchorId="1000AFF6" wp14:editId="056B20C6">
            <wp:simplePos x="0" y="0"/>
            <wp:positionH relativeFrom="column">
              <wp:posOffset>3662045</wp:posOffset>
            </wp:positionH>
            <wp:positionV relativeFrom="paragraph">
              <wp:posOffset>61595</wp:posOffset>
            </wp:positionV>
            <wp:extent cx="1908175" cy="1235710"/>
            <wp:effectExtent l="0" t="0" r="0" b="2540"/>
            <wp:wrapSquare wrapText="bothSides"/>
            <wp:docPr id="1" name="Image 1" descr="C:\Users\fzanniby\Desktop\Logos DGCT HD\Logo-VA-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zanniby\Desktop\Logos DGCT HD\Logo-VA-V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568" w:rsidRDefault="008E5568" w:rsidP="008E5568">
      <w:pPr>
        <w:bidi/>
        <w:jc w:val="right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</w:p>
    <w:p w:rsidR="00846166" w:rsidRDefault="00846166" w:rsidP="008E5568">
      <w:pPr>
        <w:bidi/>
        <w:jc w:val="right"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</w:p>
    <w:p w:rsidR="00F77093" w:rsidRDefault="00F77093" w:rsidP="00F77093">
      <w:pPr>
        <w:bidi/>
        <w:rPr>
          <w:rFonts w:asciiTheme="majorBidi" w:eastAsia="Times New Roman" w:hAnsiTheme="majorBidi" w:cstheme="majorBidi"/>
          <w:sz w:val="32"/>
          <w:szCs w:val="32"/>
          <w:rtl/>
          <w:lang w:eastAsia="fr-FR" w:bidi="ar-MA"/>
        </w:rPr>
      </w:pPr>
    </w:p>
    <w:p w:rsidR="00081F84" w:rsidRDefault="00081F84" w:rsidP="00081F84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</w:pPr>
    </w:p>
    <w:p w:rsidR="006D098A" w:rsidRPr="006D098A" w:rsidRDefault="006D098A" w:rsidP="006D098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MA"/>
        </w:rPr>
      </w:pPr>
      <w:r w:rsidRPr="006D098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MA"/>
        </w:rPr>
        <w:t>COMMUNIQUE DE PRESSE</w:t>
      </w:r>
    </w:p>
    <w:p w:rsidR="006D098A" w:rsidRPr="00F849AB" w:rsidRDefault="006D098A" w:rsidP="006D098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</w:pPr>
    </w:p>
    <w:p w:rsidR="006D098A" w:rsidRPr="006D098A" w:rsidRDefault="006D098A" w:rsidP="006D098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</w:pPr>
      <w:r w:rsidRPr="006D098A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  <w:t xml:space="preserve">SIGNATURE A RABAT D’UNE CONVENTION-CADRE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  <w:t xml:space="preserve">                        </w:t>
      </w:r>
      <w:r w:rsidRPr="006D098A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  <w:t>DE PARTENARIAT ENTRE LA DGCT  ET L’ISIC</w:t>
      </w:r>
    </w:p>
    <w:p w:rsidR="006D098A" w:rsidRDefault="006D098A" w:rsidP="006D098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</w:pPr>
    </w:p>
    <w:p w:rsidR="006D098A" w:rsidRPr="00081F84" w:rsidRDefault="006D098A" w:rsidP="000707B0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  <w:r w:rsidRPr="00081F84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MA"/>
        </w:rPr>
        <w:t>Rabat, le 05 février 2021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</w:t>
      </w:r>
      <w:r w:rsidRPr="006D098A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-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M. Khalid SAFIR, Wali-Directeur Général des Collectivités Territoriales (DGCT), et M. Abdellatif BENSFIA, Directeur de l'Institut Supérieur de l’Information et de la Communication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(ISIC)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, ont présidé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, vendredi 05 février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2021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au siège de la DGCT à Rabat, la cérémonie de signature d'une convention cadre de partenariat entre les deux institutions. </w:t>
      </w:r>
    </w:p>
    <w:p w:rsidR="000707B0" w:rsidRPr="00081F84" w:rsidRDefault="000707B0" w:rsidP="000707B0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</w:p>
    <w:p w:rsidR="006D098A" w:rsidRPr="00081F84" w:rsidRDefault="006D098A" w:rsidP="00081F84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Cette convention vise à établir un cadre général de partenariat entre la DGCT et l’ISIC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afin d’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agir ensemble pour le développement </w:t>
      </w:r>
      <w:r w:rsid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de l’action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médiatique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et communication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nelle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des collectivités territoriales et </w:t>
      </w:r>
      <w:r w:rsid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ce dans le cadre de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la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promotion des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principes de bonne gouvernance, ainsi que d'approfondir l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es connaissances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des étudiants journalistes et des journalistes professionnels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dans le domaine de la gestion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de la chose locale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,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pour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un marketing territorial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national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productif.</w:t>
      </w:r>
    </w:p>
    <w:p w:rsidR="006D098A" w:rsidRPr="00081F84" w:rsidRDefault="006D098A" w:rsidP="006D098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</w:p>
    <w:p w:rsidR="006D098A" w:rsidRPr="00081F84" w:rsidRDefault="006D098A" w:rsidP="00081F84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Ce partenariat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porte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sur des domaines d'intervention liés à la formation et à la formation continue, l'organisation d'événements communs, le conseil</w:t>
      </w:r>
      <w:r w:rsid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spécialisé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, la réalisation des recherches et d'études, ainsi que l'offre des stages</w:t>
      </w:r>
      <w:r w:rsid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de terrain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au profit des étudiants journalistes de l’ISIC.</w:t>
      </w:r>
    </w:p>
    <w:p w:rsidR="006D098A" w:rsidRPr="00081F84" w:rsidRDefault="006D098A" w:rsidP="006D098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</w:p>
    <w:p w:rsidR="006D098A" w:rsidRPr="00081F84" w:rsidRDefault="006D098A" w:rsidP="00AB2E47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 w:bidi="ar-MA"/>
        </w:rPr>
      </w:pP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ab/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Cette convention émane de la conviction des deux parties de la grande importance que représentent les médias et la communication dans</w:t>
      </w:r>
      <w:r w:rsidR="00443774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la gestion</w:t>
      </w:r>
      <w:r w:rsidR="00443774" w:rsidRPr="00081F84">
        <w:rPr>
          <w:rFonts w:asciiTheme="majorBidi" w:eastAsia="Times New Roman" w:hAnsiTheme="majorBidi" w:cstheme="majorBidi" w:hint="cs"/>
          <w:sz w:val="24"/>
          <w:szCs w:val="24"/>
          <w:rtl/>
          <w:lang w:eastAsia="fr-FR" w:bidi="ar-MA"/>
        </w:rPr>
        <w:t xml:space="preserve"> </w:t>
      </w:r>
      <w:r w:rsidR="00443774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de la chose locale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, et de la nécessité d'une action commune pour </w:t>
      </w:r>
      <w:r w:rsidR="00AB2E47" w:rsidRPr="00AB2E47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appuyer</w:t>
      </w:r>
      <w:r w:rsidRPr="00AB2E47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les collectivités territoriales,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en adoptant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des approches des médias de proximité et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en utilisant le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numérique. </w:t>
      </w:r>
    </w:p>
    <w:p w:rsidR="006D098A" w:rsidRDefault="006D098A" w:rsidP="00AB2E47">
      <w:pPr>
        <w:ind w:firstLine="708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MA"/>
        </w:rPr>
      </w:pP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Cette convention 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traduit</w:t>
      </w:r>
      <w:r w:rsidR="00346782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également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la conviction des deux parties de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la nécessité de renforcer les capacités </w:t>
      </w:r>
      <w:r w:rsidR="00A445AD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des collectivités territoriales et</w:t>
      </w:r>
      <w:bookmarkStart w:id="0" w:name="_GoBack"/>
      <w:bookmarkEnd w:id="0"/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de développer leurs compéten</w:t>
      </w:r>
      <w:r w:rsidR="00AB2E47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ces en médias et communication pour mieux accompagner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la mise en </w:t>
      </w:r>
      <w:r w:rsidR="00120389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œuvre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de</w:t>
      </w:r>
      <w:r w:rsidR="00AB2E47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s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programmes et de</w:t>
      </w:r>
      <w:r w:rsidR="00443774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s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projets de développeme</w:t>
      </w:r>
      <w:r w:rsidR="000707B0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nt territorial, ainsi que leur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volonté profonde de former une nouvelle génération de</w:t>
      </w:r>
      <w:r w:rsidR="00443774"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s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 professionnels des médias et de la communication spécialisés dans la gestion de la chose locale et le dévelo</w:t>
      </w:r>
      <w:r w:rsidR="00AB2E47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 xml:space="preserve">ppement territorial et </w:t>
      </w:r>
      <w:r w:rsidRPr="00081F84">
        <w:rPr>
          <w:rFonts w:asciiTheme="majorBidi" w:eastAsia="Times New Roman" w:hAnsiTheme="majorBidi" w:cstheme="majorBidi"/>
          <w:sz w:val="24"/>
          <w:szCs w:val="24"/>
          <w:lang w:eastAsia="fr-FR" w:bidi="ar-MA"/>
        </w:rPr>
        <w:t>imprégnés des principes de gestion participative et des valeurs de la démocratie locale.</w:t>
      </w:r>
    </w:p>
    <w:sectPr w:rsidR="006D098A" w:rsidSect="00081F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6F3A"/>
    <w:multiLevelType w:val="hybridMultilevel"/>
    <w:tmpl w:val="A126D6A6"/>
    <w:lvl w:ilvl="0" w:tplc="57FEFD02">
      <w:start w:val="9"/>
      <w:numFmt w:val="bullet"/>
      <w:lvlText w:val="-"/>
      <w:lvlJc w:val="left"/>
      <w:pPr>
        <w:tabs>
          <w:tab w:val="num" w:pos="878"/>
        </w:tabs>
        <w:ind w:left="878" w:hanging="360"/>
      </w:pPr>
      <w:rPr>
        <w:rFonts w:ascii="Times New Roman" w:eastAsiaTheme="minorHAnsi" w:hAnsi="Times New Roman" w:cs="Times New Roman" w:hint="default"/>
        <w:b w:val="0"/>
        <w:bCs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750E608B"/>
    <w:multiLevelType w:val="hybridMultilevel"/>
    <w:tmpl w:val="1EC6D9BE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bCs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4"/>
    <w:rsid w:val="000075DB"/>
    <w:rsid w:val="000707B0"/>
    <w:rsid w:val="00077D8A"/>
    <w:rsid w:val="00081F84"/>
    <w:rsid w:val="00104452"/>
    <w:rsid w:val="00120389"/>
    <w:rsid w:val="0015625C"/>
    <w:rsid w:val="001E433F"/>
    <w:rsid w:val="002A2496"/>
    <w:rsid w:val="00346782"/>
    <w:rsid w:val="003A214E"/>
    <w:rsid w:val="003A41D0"/>
    <w:rsid w:val="003E45C9"/>
    <w:rsid w:val="00443774"/>
    <w:rsid w:val="00481084"/>
    <w:rsid w:val="006A67B0"/>
    <w:rsid w:val="006D098A"/>
    <w:rsid w:val="00747864"/>
    <w:rsid w:val="00846166"/>
    <w:rsid w:val="008E5568"/>
    <w:rsid w:val="00925241"/>
    <w:rsid w:val="0096344D"/>
    <w:rsid w:val="009E78FF"/>
    <w:rsid w:val="00A445AD"/>
    <w:rsid w:val="00A6067B"/>
    <w:rsid w:val="00AB2E47"/>
    <w:rsid w:val="00B31441"/>
    <w:rsid w:val="00B847C9"/>
    <w:rsid w:val="00BA401C"/>
    <w:rsid w:val="00C04FAB"/>
    <w:rsid w:val="00C240CA"/>
    <w:rsid w:val="00DB5DC1"/>
    <w:rsid w:val="00DC08B5"/>
    <w:rsid w:val="00E83A8F"/>
    <w:rsid w:val="00ED57D6"/>
    <w:rsid w:val="00F77093"/>
    <w:rsid w:val="00F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B30C"/>
  <w15:docId w15:val="{3633013C-40BC-4D5E-886F-DB64A10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A2496"/>
    <w:pPr>
      <w:keepNext/>
      <w:tabs>
        <w:tab w:val="left" w:pos="1980"/>
      </w:tabs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C08B5"/>
    <w:pPr>
      <w:tabs>
        <w:tab w:val="left" w:pos="1980"/>
        <w:tab w:val="left" w:pos="2880"/>
        <w:tab w:val="left" w:pos="3780"/>
        <w:tab w:val="left" w:pos="3960"/>
      </w:tabs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CorpsdetexteCar">
    <w:name w:val="Corps de texte Car"/>
    <w:basedOn w:val="Policepardfaut"/>
    <w:link w:val="Corpsdetexte"/>
    <w:rsid w:val="00DC08B5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2Car">
    <w:name w:val="Titre 2 Car"/>
    <w:basedOn w:val="Policepardfaut"/>
    <w:link w:val="Titre2"/>
    <w:rsid w:val="002A2496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2A2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1D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8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Zanniby Fatiha</cp:lastModifiedBy>
  <cp:revision>3</cp:revision>
  <cp:lastPrinted>2021-02-02T11:27:00Z</cp:lastPrinted>
  <dcterms:created xsi:type="dcterms:W3CDTF">2021-02-04T16:00:00Z</dcterms:created>
  <dcterms:modified xsi:type="dcterms:W3CDTF">2021-02-04T16:01:00Z</dcterms:modified>
</cp:coreProperties>
</file>